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6595" w14:textId="77777777" w:rsidR="001F20CC" w:rsidRDefault="00F962BC" w:rsidP="00F32600">
      <w:pPr>
        <w:spacing w:after="0" w:line="240" w:lineRule="auto"/>
        <w:rPr>
          <w:rFonts w:cs="Arial"/>
          <w:b/>
          <w:sz w:val="44"/>
          <w:szCs w:val="44"/>
        </w:rPr>
      </w:pPr>
      <w:r w:rsidRPr="003440DC">
        <w:rPr>
          <w:rFonts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05A5CCFA" wp14:editId="6B4E68C6">
            <wp:simplePos x="0" y="0"/>
            <wp:positionH relativeFrom="column">
              <wp:posOffset>5457190</wp:posOffset>
            </wp:positionH>
            <wp:positionV relativeFrom="paragraph">
              <wp:posOffset>0</wp:posOffset>
            </wp:positionV>
            <wp:extent cx="963295" cy="1308735"/>
            <wp:effectExtent l="0" t="0" r="8255" b="5715"/>
            <wp:wrapTight wrapText="bothSides">
              <wp:wrapPolygon edited="0">
                <wp:start x="0" y="0"/>
                <wp:lineTo x="0" y="21380"/>
                <wp:lineTo x="21358" y="21380"/>
                <wp:lineTo x="213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27_PyC_CIC_MASTER_Logo_rgb_F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B4" w:rsidRPr="003440DC">
        <w:rPr>
          <w:rFonts w:cs="Arial"/>
          <w:b/>
          <w:sz w:val="44"/>
          <w:szCs w:val="44"/>
        </w:rPr>
        <w:t>Guidance for Applicants</w:t>
      </w:r>
      <w:r w:rsidR="003440DC" w:rsidRPr="003440DC">
        <w:rPr>
          <w:rFonts w:cs="Arial"/>
          <w:b/>
          <w:sz w:val="44"/>
          <w:szCs w:val="44"/>
        </w:rPr>
        <w:t>:</w:t>
      </w:r>
    </w:p>
    <w:p w14:paraId="32CACC6D" w14:textId="183BC68B" w:rsidR="00D624B4" w:rsidRDefault="00F835E2" w:rsidP="00F32600">
      <w:pPr>
        <w:spacing w:after="0" w:line="240" w:lineRule="auto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R</w:t>
      </w:r>
      <w:r w:rsidR="003440DC" w:rsidRPr="003440DC">
        <w:rPr>
          <w:rFonts w:cs="Arial"/>
          <w:b/>
          <w:sz w:val="44"/>
          <w:szCs w:val="44"/>
        </w:rPr>
        <w:t>eal Living Wage</w:t>
      </w:r>
    </w:p>
    <w:p w14:paraId="78EE8196" w14:textId="77777777" w:rsidR="001F20CC" w:rsidRPr="001F20CC" w:rsidRDefault="001F20CC" w:rsidP="00E7590B">
      <w:pPr>
        <w:spacing w:after="0" w:line="240" w:lineRule="auto"/>
        <w:rPr>
          <w:rFonts w:cs="Arial"/>
          <w:b/>
          <w:sz w:val="44"/>
          <w:szCs w:val="44"/>
        </w:rPr>
      </w:pPr>
    </w:p>
    <w:p w14:paraId="22235ABE" w14:textId="59E03C0D" w:rsidR="00212CE6" w:rsidRDefault="00212CE6" w:rsidP="00F32600">
      <w:pPr>
        <w:spacing w:after="0" w:line="240" w:lineRule="auto"/>
        <w:rPr>
          <w:rFonts w:cs="Arial"/>
        </w:rPr>
      </w:pPr>
      <w:r w:rsidRPr="539EEDC7">
        <w:rPr>
          <w:rFonts w:cs="Arial"/>
        </w:rPr>
        <w:t xml:space="preserve">Pen y </w:t>
      </w:r>
      <w:proofErr w:type="spellStart"/>
      <w:r w:rsidRPr="539EEDC7">
        <w:rPr>
          <w:rFonts w:cs="Arial"/>
        </w:rPr>
        <w:t>Cymoedd</w:t>
      </w:r>
      <w:proofErr w:type="spellEnd"/>
      <w:r w:rsidRPr="539EEDC7">
        <w:rPr>
          <w:rFonts w:cs="Arial"/>
        </w:rPr>
        <w:t xml:space="preserve"> Wind Farm Community Fund CIC is a</w:t>
      </w:r>
      <w:r w:rsidR="00FE0CD6" w:rsidRPr="539EEDC7">
        <w:rPr>
          <w:rFonts w:cs="Arial"/>
        </w:rPr>
        <w:t>n accredited</w:t>
      </w:r>
      <w:r w:rsidRPr="539EEDC7">
        <w:rPr>
          <w:rFonts w:cs="Arial"/>
        </w:rPr>
        <w:t xml:space="preserve"> </w:t>
      </w:r>
      <w:r w:rsidRPr="539EEDC7">
        <w:rPr>
          <w:rFonts w:cs="Arial"/>
          <w:b/>
          <w:bCs/>
          <w:color w:val="002060"/>
        </w:rPr>
        <w:t xml:space="preserve">Living Wage </w:t>
      </w:r>
      <w:r w:rsidR="00FE0CD6" w:rsidRPr="539EEDC7">
        <w:rPr>
          <w:rFonts w:cs="Arial"/>
          <w:b/>
          <w:bCs/>
          <w:color w:val="002060"/>
        </w:rPr>
        <w:t>E</w:t>
      </w:r>
      <w:r w:rsidRPr="539EEDC7">
        <w:rPr>
          <w:rFonts w:cs="Arial"/>
          <w:b/>
          <w:bCs/>
          <w:color w:val="002060"/>
        </w:rPr>
        <w:t>mployer</w:t>
      </w:r>
      <w:r w:rsidRPr="539EEDC7">
        <w:rPr>
          <w:rFonts w:cs="Arial"/>
          <w:color w:val="002060"/>
        </w:rPr>
        <w:t xml:space="preserve"> </w:t>
      </w:r>
      <w:r w:rsidRPr="539EEDC7">
        <w:rPr>
          <w:rFonts w:cs="Arial"/>
        </w:rPr>
        <w:t>– our employees</w:t>
      </w:r>
      <w:r w:rsidR="00F835E2" w:rsidRPr="539EEDC7">
        <w:rPr>
          <w:rFonts w:cs="Arial"/>
        </w:rPr>
        <w:t xml:space="preserve"> and contractors</w:t>
      </w:r>
      <w:r w:rsidR="00AA09F6" w:rsidRPr="539EEDC7">
        <w:rPr>
          <w:rFonts w:cs="Arial"/>
        </w:rPr>
        <w:t xml:space="preserve"> will always be paid at least </w:t>
      </w:r>
      <w:r w:rsidRPr="539EEDC7">
        <w:rPr>
          <w:rFonts w:cs="Arial"/>
        </w:rPr>
        <w:t xml:space="preserve">the current </w:t>
      </w:r>
      <w:r w:rsidR="120E3C35" w:rsidRPr="539EEDC7">
        <w:rPr>
          <w:rFonts w:cs="Arial"/>
        </w:rPr>
        <w:t>R</w:t>
      </w:r>
      <w:r w:rsidRPr="539EEDC7">
        <w:rPr>
          <w:rFonts w:cs="Arial"/>
        </w:rPr>
        <w:t xml:space="preserve">eal Living Wage hourly rate. </w:t>
      </w:r>
    </w:p>
    <w:p w14:paraId="49DA6863" w14:textId="77777777" w:rsidR="00FE0CD6" w:rsidRDefault="00212CE6" w:rsidP="005F45FD">
      <w:pPr>
        <w:pStyle w:val="Heading4"/>
        <w:shd w:val="clear" w:color="auto" w:fill="FFFFFF"/>
        <w:spacing w:before="0" w:line="240" w:lineRule="auto"/>
        <w:textAlignment w:val="baseline"/>
        <w:rPr>
          <w:rFonts w:ascii="Calibri" w:hAnsi="Calibri" w:cs="Arial"/>
          <w:i w:val="0"/>
          <w:color w:val="auto"/>
        </w:rPr>
      </w:pPr>
      <w:r w:rsidRPr="00212CE6">
        <w:rPr>
          <w:rFonts w:asciiTheme="minorHAnsi" w:hAnsiTheme="minorHAnsi" w:cs="Arial"/>
          <w:i w:val="0"/>
          <w:color w:val="auto"/>
        </w:rPr>
        <w:t xml:space="preserve">We are also a </w:t>
      </w:r>
      <w:r w:rsidR="005F45FD">
        <w:rPr>
          <w:rFonts w:asciiTheme="minorHAnsi" w:hAnsiTheme="minorHAnsi" w:cs="Arial"/>
          <w:i w:val="0"/>
          <w:color w:val="auto"/>
        </w:rPr>
        <w:t xml:space="preserve">real </w:t>
      </w:r>
      <w:r w:rsidRPr="00FE0CD6">
        <w:rPr>
          <w:rFonts w:asciiTheme="minorHAnsi" w:hAnsiTheme="minorHAnsi" w:cs="Arial"/>
          <w:b/>
          <w:i w:val="0"/>
          <w:color w:val="002060"/>
        </w:rPr>
        <w:t>Living Wage Friendly Funder</w:t>
      </w:r>
      <w:r w:rsidR="006B4A3F">
        <w:rPr>
          <w:rFonts w:asciiTheme="minorHAnsi" w:hAnsiTheme="minorHAnsi" w:cs="Arial"/>
          <w:i w:val="0"/>
          <w:color w:val="auto"/>
        </w:rPr>
        <w:t>. W</w:t>
      </w:r>
      <w:r>
        <w:rPr>
          <w:rFonts w:asciiTheme="minorHAnsi" w:hAnsiTheme="minorHAnsi" w:cs="Arial"/>
          <w:i w:val="0"/>
          <w:color w:val="auto"/>
        </w:rPr>
        <w:t xml:space="preserve">e </w:t>
      </w:r>
      <w:r w:rsidRPr="00212CE6">
        <w:rPr>
          <w:rFonts w:asciiTheme="minorHAnsi" w:hAnsiTheme="minorHAnsi" w:cs="Arial"/>
          <w:i w:val="0"/>
          <w:color w:val="auto"/>
        </w:rPr>
        <w:t xml:space="preserve">strongly </w:t>
      </w:r>
      <w:r>
        <w:rPr>
          <w:rFonts w:asciiTheme="minorHAnsi" w:hAnsiTheme="minorHAnsi" w:cs="Arial"/>
          <w:i w:val="0"/>
          <w:color w:val="auto"/>
        </w:rPr>
        <w:t xml:space="preserve">support and </w:t>
      </w:r>
      <w:r w:rsidRPr="00212CE6">
        <w:rPr>
          <w:rFonts w:asciiTheme="minorHAnsi" w:hAnsiTheme="minorHAnsi" w:cs="Arial"/>
          <w:i w:val="0"/>
          <w:color w:val="auto"/>
        </w:rPr>
        <w:t>encourage applicants to pay</w:t>
      </w:r>
      <w:r w:rsidR="006B4A3F">
        <w:rPr>
          <w:rFonts w:asciiTheme="minorHAnsi" w:hAnsiTheme="minorHAnsi" w:cs="Arial"/>
          <w:i w:val="0"/>
          <w:color w:val="auto"/>
        </w:rPr>
        <w:t xml:space="preserve"> their</w:t>
      </w:r>
      <w:r>
        <w:rPr>
          <w:rFonts w:asciiTheme="minorHAnsi" w:hAnsiTheme="minorHAnsi" w:cs="Arial"/>
          <w:i w:val="0"/>
          <w:color w:val="auto"/>
        </w:rPr>
        <w:t xml:space="preserve"> </w:t>
      </w:r>
      <w:r w:rsidR="006B4A3F">
        <w:rPr>
          <w:rFonts w:asciiTheme="minorHAnsi" w:hAnsiTheme="minorHAnsi" w:cs="Arial"/>
          <w:i w:val="0"/>
          <w:color w:val="auto"/>
        </w:rPr>
        <w:t>employees</w:t>
      </w:r>
      <w:r w:rsidRPr="00212CE6">
        <w:rPr>
          <w:rFonts w:asciiTheme="minorHAnsi" w:hAnsiTheme="minorHAnsi" w:cs="Arial"/>
          <w:i w:val="0"/>
          <w:color w:val="auto"/>
        </w:rPr>
        <w:t xml:space="preserve"> at </w:t>
      </w:r>
      <w:r w:rsidR="005F45FD">
        <w:rPr>
          <w:rFonts w:asciiTheme="minorHAnsi" w:hAnsiTheme="minorHAnsi" w:cs="Arial"/>
          <w:i w:val="0"/>
          <w:color w:val="auto"/>
        </w:rPr>
        <w:t xml:space="preserve">real </w:t>
      </w:r>
      <w:r w:rsidRPr="00212CE6">
        <w:rPr>
          <w:rFonts w:asciiTheme="minorHAnsi" w:hAnsiTheme="minorHAnsi" w:cs="Arial"/>
          <w:i w:val="0"/>
          <w:color w:val="auto"/>
        </w:rPr>
        <w:t>Living Wage levels</w:t>
      </w:r>
      <w:r w:rsidR="006B4A3F">
        <w:rPr>
          <w:rFonts w:asciiTheme="minorHAnsi" w:hAnsiTheme="minorHAnsi" w:cs="Arial"/>
          <w:i w:val="0"/>
          <w:color w:val="auto"/>
        </w:rPr>
        <w:t>. Requests for funding to employ staff should reflect R</w:t>
      </w:r>
      <w:r>
        <w:rPr>
          <w:rFonts w:asciiTheme="minorHAnsi" w:hAnsiTheme="minorHAnsi" w:cs="Arial"/>
          <w:i w:val="0"/>
          <w:color w:val="auto"/>
        </w:rPr>
        <w:t xml:space="preserve">eal </w:t>
      </w:r>
      <w:r w:rsidRPr="00212CE6">
        <w:rPr>
          <w:rFonts w:asciiTheme="minorHAnsi" w:hAnsiTheme="minorHAnsi" w:cs="Arial"/>
          <w:i w:val="0"/>
          <w:color w:val="auto"/>
        </w:rPr>
        <w:t>Living Wage costs</w:t>
      </w:r>
      <w:r w:rsidR="00F835E2">
        <w:rPr>
          <w:rFonts w:asciiTheme="minorHAnsi" w:hAnsiTheme="minorHAnsi" w:cs="Arial"/>
          <w:i w:val="0"/>
          <w:color w:val="auto"/>
        </w:rPr>
        <w:t xml:space="preserve"> whenever possible. </w:t>
      </w:r>
      <w:r w:rsidR="005F45FD">
        <w:rPr>
          <w:rFonts w:asciiTheme="minorHAnsi" w:hAnsiTheme="minorHAnsi" w:cs="Arial"/>
          <w:i w:val="0"/>
          <w:color w:val="auto"/>
        </w:rPr>
        <w:t xml:space="preserve">We do </w:t>
      </w:r>
      <w:r w:rsidR="005F45FD" w:rsidRPr="00D23B24">
        <w:rPr>
          <w:rFonts w:ascii="Calibri" w:hAnsi="Calibri" w:cs="Arial"/>
          <w:i w:val="0"/>
          <w:color w:val="auto"/>
        </w:rPr>
        <w:t xml:space="preserve">acknowledge that there may be strong reasons why this might </w:t>
      </w:r>
      <w:r w:rsidR="00AA09F6">
        <w:rPr>
          <w:rFonts w:ascii="Calibri" w:hAnsi="Calibri" w:cs="Arial"/>
          <w:i w:val="0"/>
          <w:color w:val="auto"/>
        </w:rPr>
        <w:t xml:space="preserve">sometimes </w:t>
      </w:r>
      <w:r w:rsidR="005F45FD" w:rsidRPr="00D23B24">
        <w:rPr>
          <w:rFonts w:ascii="Calibri" w:hAnsi="Calibri" w:cs="Arial"/>
          <w:i w:val="0"/>
          <w:color w:val="auto"/>
        </w:rPr>
        <w:t xml:space="preserve">not be possible for some </w:t>
      </w:r>
      <w:proofErr w:type="gramStart"/>
      <w:r w:rsidR="005F45FD" w:rsidRPr="00D23B24">
        <w:rPr>
          <w:rFonts w:ascii="Calibri" w:hAnsi="Calibri" w:cs="Arial"/>
          <w:i w:val="0"/>
          <w:color w:val="auto"/>
        </w:rPr>
        <w:t>applicants</w:t>
      </w:r>
      <w:r w:rsidR="00AA09F6">
        <w:rPr>
          <w:rFonts w:ascii="Calibri" w:hAnsi="Calibri" w:cs="Arial"/>
          <w:i w:val="0"/>
          <w:color w:val="auto"/>
        </w:rPr>
        <w:t>, but</w:t>
      </w:r>
      <w:proofErr w:type="gramEnd"/>
      <w:r w:rsidR="00AA09F6">
        <w:rPr>
          <w:rFonts w:ascii="Calibri" w:hAnsi="Calibri" w:cs="Arial"/>
          <w:i w:val="0"/>
          <w:color w:val="auto"/>
        </w:rPr>
        <w:t xml:space="preserve"> </w:t>
      </w:r>
      <w:r w:rsidR="005F45FD">
        <w:rPr>
          <w:rFonts w:ascii="Calibri" w:hAnsi="Calibri" w:cs="Arial"/>
          <w:i w:val="0"/>
          <w:color w:val="auto"/>
        </w:rPr>
        <w:t xml:space="preserve">will always ask you to tell us </w:t>
      </w:r>
      <w:r w:rsidR="005F45FD" w:rsidRPr="00D23B24">
        <w:rPr>
          <w:rFonts w:ascii="Calibri" w:hAnsi="Calibri" w:cs="Arial"/>
          <w:i w:val="0"/>
          <w:color w:val="auto"/>
        </w:rPr>
        <w:t xml:space="preserve">how and why wage levels have been calculated. </w:t>
      </w:r>
    </w:p>
    <w:p w14:paraId="64E4FB15" w14:textId="77777777" w:rsidR="00FE0CD6" w:rsidRDefault="00FE0CD6" w:rsidP="005F45FD">
      <w:pPr>
        <w:pStyle w:val="Heading4"/>
        <w:shd w:val="clear" w:color="auto" w:fill="FFFFFF"/>
        <w:spacing w:before="0" w:line="240" w:lineRule="auto"/>
        <w:textAlignment w:val="baseline"/>
        <w:rPr>
          <w:rFonts w:ascii="Calibri" w:hAnsi="Calibri" w:cs="Arial"/>
          <w:i w:val="0"/>
          <w:color w:val="auto"/>
        </w:rPr>
      </w:pPr>
    </w:p>
    <w:p w14:paraId="0387F791" w14:textId="3F6B0EC4" w:rsidR="001F20CC" w:rsidRDefault="00FE0CD6" w:rsidP="00FE0CD6">
      <w:pPr>
        <w:rPr>
          <w:rStyle w:val="Hyperlink"/>
        </w:rPr>
      </w:pPr>
      <w:r>
        <w:t xml:space="preserve">You may also wish to consider becoming accredited with the Living Wage Foundation as a Living Wage Employer – you can find out more </w:t>
      </w:r>
      <w:hyperlink r:id="rId8" w:history="1">
        <w:r w:rsidRPr="00FE0CD6">
          <w:rPr>
            <w:rStyle w:val="Hyperlink"/>
          </w:rPr>
          <w:t>here</w:t>
        </w:r>
      </w:hyperlink>
      <w:r>
        <w:t xml:space="preserve"> - </w:t>
      </w:r>
      <w:hyperlink r:id="rId9" w:history="1">
        <w:r w:rsidRPr="00007A55">
          <w:rPr>
            <w:rStyle w:val="Hyperlink"/>
          </w:rPr>
          <w:t>www.livingwage.org.uk</w:t>
        </w:r>
      </w:hyperlink>
    </w:p>
    <w:p w14:paraId="078F4B2A" w14:textId="77777777" w:rsidR="00560393" w:rsidRPr="00E7590B" w:rsidRDefault="00560393" w:rsidP="00FE0CD6">
      <w:pPr>
        <w:rPr>
          <w:color w:val="0563C1" w:themeColor="hyperlink"/>
          <w:u w:val="single"/>
        </w:rPr>
      </w:pPr>
    </w:p>
    <w:p w14:paraId="47F924EA" w14:textId="1A879602" w:rsidR="00212CE6" w:rsidRPr="00FE0CD6" w:rsidRDefault="00FE0CD6" w:rsidP="00212CE6">
      <w:r>
        <w:t xml:space="preserve">  </w:t>
      </w:r>
      <w:r w:rsidR="00212CE6" w:rsidRPr="00212CE6">
        <w:rPr>
          <w:b/>
          <w:i/>
          <w:sz w:val="28"/>
          <w:szCs w:val="28"/>
        </w:rPr>
        <w:t>What is the Living Wage?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4"/>
        <w:gridCol w:w="2975"/>
        <w:gridCol w:w="2975"/>
      </w:tblGrid>
      <w:tr w:rsidR="00212CE6" w:rsidRPr="004C01F2" w14:paraId="00005ACD" w14:textId="77777777" w:rsidTr="539EEDC7">
        <w:tc>
          <w:tcPr>
            <w:tcW w:w="1271" w:type="dxa"/>
            <w:shd w:val="clear" w:color="auto" w:fill="E7E6E6" w:themeFill="background2"/>
          </w:tcPr>
          <w:p w14:paraId="7BBA51BE" w14:textId="25605FDC" w:rsidR="00212CE6" w:rsidRPr="00B259FC" w:rsidRDefault="35798453" w:rsidP="539EEDC7">
            <w:pPr>
              <w:rPr>
                <w:rFonts w:ascii="Calibri" w:hAnsi="Calibri"/>
                <w:b/>
                <w:bCs/>
              </w:rPr>
            </w:pPr>
            <w:r w:rsidRPr="539EEDC7">
              <w:rPr>
                <w:rFonts w:ascii="Calibri" w:hAnsi="Calibri"/>
                <w:b/>
                <w:bCs/>
                <w:color w:val="0070C0"/>
              </w:rPr>
              <w:t>202</w:t>
            </w:r>
            <w:r w:rsidR="005F5740">
              <w:rPr>
                <w:rFonts w:ascii="Calibri" w:hAnsi="Calibri"/>
                <w:b/>
                <w:bCs/>
                <w:color w:val="0070C0"/>
              </w:rPr>
              <w:t>5/2026</w:t>
            </w:r>
          </w:p>
        </w:tc>
        <w:tc>
          <w:tcPr>
            <w:tcW w:w="2974" w:type="dxa"/>
            <w:shd w:val="clear" w:color="auto" w:fill="E7E6E6" w:themeFill="background2"/>
          </w:tcPr>
          <w:p w14:paraId="35DEE1CE" w14:textId="77777777" w:rsidR="00212CE6" w:rsidRDefault="00212CE6" w:rsidP="002A5C40">
            <w:pPr>
              <w:rPr>
                <w:rFonts w:ascii="Calibri" w:hAnsi="Calibri"/>
                <w:b/>
              </w:rPr>
            </w:pPr>
            <w:r w:rsidRPr="007462BF">
              <w:rPr>
                <w:rFonts w:ascii="Calibri" w:hAnsi="Calibri"/>
                <w:b/>
              </w:rPr>
              <w:t>The Minimum Wage</w:t>
            </w:r>
          </w:p>
          <w:p w14:paraId="4289785F" w14:textId="17D11A67" w:rsidR="00212CE6" w:rsidRPr="006C5BA7" w:rsidRDefault="00212CE6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Government Minimum for </w:t>
            </w:r>
            <w:r w:rsidRPr="00815C51">
              <w:rPr>
                <w:rFonts w:ascii="Calibri" w:hAnsi="Calibri"/>
                <w:b/>
                <w:bCs/>
                <w:i/>
                <w:iCs/>
              </w:rPr>
              <w:t xml:space="preserve">Under </w:t>
            </w:r>
            <w:r w:rsidR="004F3C72">
              <w:rPr>
                <w:rFonts w:ascii="Calibri" w:hAnsi="Calibri"/>
                <w:b/>
                <w:bCs/>
                <w:i/>
                <w:iCs/>
              </w:rPr>
              <w:t>2</w:t>
            </w:r>
            <w:r w:rsidR="007F1664">
              <w:rPr>
                <w:rFonts w:ascii="Calibri" w:hAnsi="Calibri"/>
                <w:b/>
                <w:bCs/>
                <w:i/>
                <w:iCs/>
              </w:rPr>
              <w:t>1</w:t>
            </w:r>
            <w:r w:rsidRPr="00815C51">
              <w:rPr>
                <w:rFonts w:ascii="Calibri" w:hAnsi="Calibri"/>
                <w:b/>
                <w:bCs/>
                <w:i/>
                <w:iCs/>
              </w:rPr>
              <w:t>s</w:t>
            </w:r>
          </w:p>
        </w:tc>
        <w:tc>
          <w:tcPr>
            <w:tcW w:w="2975" w:type="dxa"/>
            <w:shd w:val="clear" w:color="auto" w:fill="E7E6E6" w:themeFill="background2"/>
          </w:tcPr>
          <w:p w14:paraId="2EDBBADD" w14:textId="77777777" w:rsidR="00212CE6" w:rsidRDefault="00212CE6" w:rsidP="002A5C40">
            <w:pPr>
              <w:rPr>
                <w:rFonts w:ascii="Calibri" w:hAnsi="Calibri"/>
                <w:b/>
              </w:rPr>
            </w:pPr>
            <w:r w:rsidRPr="007462BF">
              <w:rPr>
                <w:rFonts w:ascii="Calibri" w:hAnsi="Calibri"/>
                <w:b/>
              </w:rPr>
              <w:t>Nat</w:t>
            </w:r>
            <w:r>
              <w:rPr>
                <w:rFonts w:ascii="Calibri" w:hAnsi="Calibri"/>
                <w:b/>
              </w:rPr>
              <w:t>ional Living Wage</w:t>
            </w:r>
          </w:p>
          <w:p w14:paraId="66F677A2" w14:textId="77777777" w:rsidR="00C807CF" w:rsidRDefault="00212CE6" w:rsidP="002A5C40">
            <w:pPr>
              <w:rPr>
                <w:rFonts w:ascii="Calibri" w:hAnsi="Calibri"/>
              </w:rPr>
            </w:pPr>
            <w:r w:rsidRPr="004C01F2">
              <w:rPr>
                <w:rFonts w:ascii="Calibri" w:hAnsi="Calibri"/>
              </w:rPr>
              <w:t xml:space="preserve">Government Minimum for </w:t>
            </w:r>
          </w:p>
          <w:p w14:paraId="3E9C8EC5" w14:textId="7BBD5F2D" w:rsidR="00212CE6" w:rsidRPr="004C01F2" w:rsidRDefault="004F3C72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2</w:t>
            </w:r>
            <w:r w:rsidR="00663694">
              <w:rPr>
                <w:rFonts w:ascii="Calibri" w:hAnsi="Calibri"/>
                <w:b/>
                <w:bCs/>
                <w:i/>
                <w:iCs/>
              </w:rPr>
              <w:t>1</w:t>
            </w:r>
            <w:r>
              <w:rPr>
                <w:rFonts w:ascii="Calibri" w:hAnsi="Calibri"/>
                <w:b/>
                <w:bCs/>
                <w:i/>
                <w:iCs/>
              </w:rPr>
              <w:t xml:space="preserve"> and over</w:t>
            </w:r>
          </w:p>
        </w:tc>
        <w:tc>
          <w:tcPr>
            <w:tcW w:w="2975" w:type="dxa"/>
            <w:shd w:val="clear" w:color="auto" w:fill="E7E6E6" w:themeFill="background2"/>
          </w:tcPr>
          <w:p w14:paraId="171DF748" w14:textId="77777777" w:rsidR="00212CE6" w:rsidRDefault="00212CE6" w:rsidP="002A5C40">
            <w:pPr>
              <w:rPr>
                <w:rFonts w:ascii="Calibri" w:hAnsi="Calibri"/>
              </w:rPr>
            </w:pPr>
            <w:r w:rsidRPr="007462BF">
              <w:rPr>
                <w:rFonts w:ascii="Calibri" w:hAnsi="Calibri"/>
                <w:b/>
              </w:rPr>
              <w:t>Real Living Wage</w:t>
            </w:r>
          </w:p>
          <w:p w14:paraId="73A44538" w14:textId="77777777" w:rsidR="00212CE6" w:rsidRPr="004C01F2" w:rsidRDefault="00212CE6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Based on what people need to live</w:t>
            </w:r>
          </w:p>
        </w:tc>
      </w:tr>
      <w:tr w:rsidR="00184EF7" w:rsidRPr="007462BF" w14:paraId="78D276E5" w14:textId="77777777" w:rsidTr="539EEDC7">
        <w:tc>
          <w:tcPr>
            <w:tcW w:w="1271" w:type="dxa"/>
            <w:shd w:val="clear" w:color="auto" w:fill="E7E6E6" w:themeFill="background2"/>
          </w:tcPr>
          <w:p w14:paraId="28A81BDA" w14:textId="77777777" w:rsidR="00184EF7" w:rsidRPr="00B259FC" w:rsidRDefault="00184EF7" w:rsidP="00184EF7">
            <w:pPr>
              <w:jc w:val="center"/>
              <w:rPr>
                <w:rFonts w:ascii="Calibri" w:hAnsi="Calibri"/>
                <w:b/>
              </w:rPr>
            </w:pPr>
            <w:r w:rsidRPr="00B259FC">
              <w:rPr>
                <w:rFonts w:ascii="Calibri" w:hAnsi="Calibri"/>
                <w:b/>
              </w:rPr>
              <w:t>What is it?</w:t>
            </w:r>
          </w:p>
        </w:tc>
        <w:tc>
          <w:tcPr>
            <w:tcW w:w="2974" w:type="dxa"/>
          </w:tcPr>
          <w:p w14:paraId="3EC1A6F0" w14:textId="06A18E0C" w:rsidR="00306181" w:rsidRPr="00306181" w:rsidRDefault="370D02D4" w:rsidP="539EEDC7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539EEDC7">
              <w:rPr>
                <w:rFonts w:asciiTheme="minorHAnsi" w:eastAsia="Times New Roman" w:hAnsiTheme="minorHAnsi"/>
                <w:sz w:val="22"/>
                <w:szCs w:val="22"/>
              </w:rPr>
              <w:t>18 – 20: £</w:t>
            </w:r>
            <w:r w:rsidR="00E9725F">
              <w:rPr>
                <w:rFonts w:asciiTheme="minorHAnsi" w:eastAsia="Times New Roman" w:hAnsiTheme="minorHAnsi"/>
                <w:sz w:val="22"/>
                <w:szCs w:val="22"/>
              </w:rPr>
              <w:t>10.00</w:t>
            </w:r>
          </w:p>
          <w:p w14:paraId="46B801A3" w14:textId="35E8DF00" w:rsidR="00306181" w:rsidRPr="00306181" w:rsidRDefault="370D02D4" w:rsidP="539EEDC7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539EEDC7">
              <w:rPr>
                <w:rFonts w:asciiTheme="minorHAnsi" w:eastAsia="Times New Roman" w:hAnsiTheme="minorHAnsi"/>
                <w:sz w:val="22"/>
                <w:szCs w:val="22"/>
              </w:rPr>
              <w:t>Under 18: £</w:t>
            </w:r>
            <w:r w:rsidR="0067103F">
              <w:rPr>
                <w:rFonts w:asciiTheme="minorHAnsi" w:eastAsia="Times New Roman" w:hAnsiTheme="minorHAnsi"/>
                <w:sz w:val="22"/>
                <w:szCs w:val="22"/>
              </w:rPr>
              <w:t>7.55</w:t>
            </w:r>
          </w:p>
          <w:p w14:paraId="6789F083" w14:textId="04478EB3" w:rsidR="00184EF7" w:rsidRPr="00306181" w:rsidRDefault="370D02D4" w:rsidP="539EEDC7">
            <w:pPr>
              <w:pStyle w:val="Default"/>
              <w:numPr>
                <w:ilvl w:val="0"/>
                <w:numId w:val="5"/>
              </w:numPr>
              <w:rPr>
                <w:rFonts w:asciiTheme="minorHAnsi" w:eastAsia="Times New Roman" w:hAnsiTheme="minorHAnsi"/>
                <w:sz w:val="22"/>
                <w:szCs w:val="22"/>
              </w:rPr>
            </w:pPr>
            <w:r w:rsidRPr="539EEDC7">
              <w:rPr>
                <w:rFonts w:asciiTheme="minorHAnsi" w:eastAsia="Times New Roman" w:hAnsiTheme="minorHAnsi"/>
                <w:sz w:val="22"/>
                <w:szCs w:val="22"/>
              </w:rPr>
              <w:t>Apprentice: £</w:t>
            </w:r>
            <w:r w:rsidR="0067103F">
              <w:rPr>
                <w:rFonts w:asciiTheme="minorHAnsi" w:eastAsia="Times New Roman" w:hAnsiTheme="minorHAnsi"/>
                <w:sz w:val="22"/>
                <w:szCs w:val="22"/>
              </w:rPr>
              <w:t>7.55</w:t>
            </w:r>
          </w:p>
        </w:tc>
        <w:tc>
          <w:tcPr>
            <w:tcW w:w="2975" w:type="dxa"/>
          </w:tcPr>
          <w:p w14:paraId="31DCCBE0" w14:textId="3A2E6651" w:rsidR="00184EF7" w:rsidRPr="00184EF7" w:rsidRDefault="00AF0747" w:rsidP="00184EF7">
            <w:r w:rsidRPr="00AF0747">
              <w:t>£12.21</w:t>
            </w:r>
          </w:p>
        </w:tc>
        <w:tc>
          <w:tcPr>
            <w:tcW w:w="2975" w:type="dxa"/>
          </w:tcPr>
          <w:p w14:paraId="7E8614A2" w14:textId="13F94F5E" w:rsidR="00184EF7" w:rsidRPr="00184EF7" w:rsidRDefault="75929023" w:rsidP="00184EF7">
            <w:r>
              <w:t>£1</w:t>
            </w:r>
            <w:r w:rsidR="69F13B4F">
              <w:t>2</w:t>
            </w:r>
            <w:r w:rsidR="0003332F">
              <w:t>.60</w:t>
            </w:r>
          </w:p>
        </w:tc>
      </w:tr>
      <w:tr w:rsidR="00212CE6" w:rsidRPr="007462BF" w14:paraId="6502AA12" w14:textId="77777777" w:rsidTr="539EEDC7">
        <w:tc>
          <w:tcPr>
            <w:tcW w:w="1271" w:type="dxa"/>
            <w:shd w:val="clear" w:color="auto" w:fill="E7E6E6" w:themeFill="background2"/>
          </w:tcPr>
          <w:p w14:paraId="3D282CB2" w14:textId="77777777" w:rsidR="00212CE6" w:rsidRPr="00B259FC" w:rsidRDefault="00212CE6" w:rsidP="006B4A3F">
            <w:pPr>
              <w:jc w:val="center"/>
              <w:rPr>
                <w:rFonts w:ascii="Calibri" w:hAnsi="Calibri"/>
                <w:b/>
              </w:rPr>
            </w:pPr>
            <w:r w:rsidRPr="00B259FC">
              <w:rPr>
                <w:rFonts w:ascii="Calibri" w:hAnsi="Calibri"/>
                <w:b/>
              </w:rPr>
              <w:t>Is it the law?</w:t>
            </w:r>
          </w:p>
        </w:tc>
        <w:tc>
          <w:tcPr>
            <w:tcW w:w="2974" w:type="dxa"/>
          </w:tcPr>
          <w:p w14:paraId="49478C18" w14:textId="77777777" w:rsidR="00212CE6" w:rsidRPr="007462BF" w:rsidRDefault="00212CE6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Yes - </w:t>
            </w:r>
            <w:r w:rsidRPr="00387174">
              <w:rPr>
                <w:rFonts w:eastAsia="Times New Roman" w:cs="Times New Roman"/>
                <w:color w:val="000000"/>
                <w:lang w:eastAsia="en-GB"/>
              </w:rPr>
              <w:t xml:space="preserve">created by the </w:t>
            </w:r>
            <w:r w:rsidRPr="00387174">
              <w:rPr>
                <w:rFonts w:eastAsia="Times New Roman" w:cs="Arial"/>
                <w:color w:val="222222"/>
                <w:lang w:eastAsia="en-GB"/>
              </w:rPr>
              <w:t>National Minimum Wage Act 1998</w:t>
            </w:r>
          </w:p>
        </w:tc>
        <w:tc>
          <w:tcPr>
            <w:tcW w:w="2975" w:type="dxa"/>
          </w:tcPr>
          <w:p w14:paraId="58D64FFB" w14:textId="77777777" w:rsidR="00212CE6" w:rsidRPr="007462BF" w:rsidRDefault="00212CE6" w:rsidP="002A5C40">
            <w:pPr>
              <w:shd w:val="clear" w:color="auto" w:fill="FFFFFF"/>
              <w:rPr>
                <w:rFonts w:ascii="Calibri" w:hAnsi="Calibri"/>
              </w:rPr>
            </w:pPr>
            <w:r w:rsidRPr="00D769A7">
              <w:rPr>
                <w:rFonts w:ascii="Calibri" w:hAnsi="Calibri"/>
              </w:rPr>
              <w:t xml:space="preserve">Yes – introduced in </w:t>
            </w:r>
            <w:r w:rsidRPr="00D769A7">
              <w:rPr>
                <w:rFonts w:ascii="Calibri" w:eastAsia="Times New Roman" w:hAnsi="Calibri" w:cs="Times New Roman"/>
                <w:color w:val="000000"/>
                <w:lang w:eastAsia="en-GB"/>
              </w:rPr>
              <w:t>in April 2016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975" w:type="dxa"/>
          </w:tcPr>
          <w:p w14:paraId="30C7332A" w14:textId="77777777" w:rsidR="00212CE6" w:rsidRPr="007462BF" w:rsidRDefault="00212CE6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 - voluntary</w:t>
            </w:r>
          </w:p>
        </w:tc>
      </w:tr>
      <w:tr w:rsidR="00212CE6" w:rsidRPr="007462BF" w14:paraId="066C95AE" w14:textId="77777777" w:rsidTr="539EEDC7">
        <w:tc>
          <w:tcPr>
            <w:tcW w:w="1271" w:type="dxa"/>
            <w:shd w:val="clear" w:color="auto" w:fill="E7E6E6" w:themeFill="background2"/>
          </w:tcPr>
          <w:p w14:paraId="3243703F" w14:textId="6DA1D8BF" w:rsidR="00212CE6" w:rsidRPr="00B259FC" w:rsidRDefault="006B4A3F" w:rsidP="006B4A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  <w:r w:rsidR="00212CE6" w:rsidRPr="00B259FC">
              <w:rPr>
                <w:rFonts w:ascii="Calibri" w:hAnsi="Calibri"/>
                <w:b/>
              </w:rPr>
              <w:t>ge group covered?</w:t>
            </w:r>
          </w:p>
        </w:tc>
        <w:tc>
          <w:tcPr>
            <w:tcW w:w="2974" w:type="dxa"/>
          </w:tcPr>
          <w:p w14:paraId="6035F674" w14:textId="1BB31CC7" w:rsidR="00212CE6" w:rsidRPr="007462BF" w:rsidRDefault="000B383F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 to </w:t>
            </w:r>
            <w:r w:rsidR="0070676A">
              <w:rPr>
                <w:rFonts w:ascii="Calibri" w:hAnsi="Calibri"/>
              </w:rPr>
              <w:t>2</w:t>
            </w:r>
            <w:r w:rsidR="007F1664">
              <w:rPr>
                <w:rFonts w:ascii="Calibri" w:hAnsi="Calibri"/>
              </w:rPr>
              <w:t>1</w:t>
            </w:r>
          </w:p>
        </w:tc>
        <w:tc>
          <w:tcPr>
            <w:tcW w:w="2975" w:type="dxa"/>
          </w:tcPr>
          <w:p w14:paraId="113CAA9E" w14:textId="2C287BE4" w:rsidR="00212CE6" w:rsidRPr="007462BF" w:rsidRDefault="00212CE6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7F166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and over</w:t>
            </w:r>
          </w:p>
        </w:tc>
        <w:tc>
          <w:tcPr>
            <w:tcW w:w="2975" w:type="dxa"/>
          </w:tcPr>
          <w:p w14:paraId="5F6A2725" w14:textId="77777777" w:rsidR="00212CE6" w:rsidRPr="007462BF" w:rsidRDefault="00212CE6" w:rsidP="002A5C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and over</w:t>
            </w:r>
          </w:p>
        </w:tc>
      </w:tr>
      <w:tr w:rsidR="00212CE6" w:rsidRPr="007462BF" w14:paraId="74E88A44" w14:textId="77777777" w:rsidTr="539EEDC7">
        <w:tc>
          <w:tcPr>
            <w:tcW w:w="1271" w:type="dxa"/>
            <w:shd w:val="clear" w:color="auto" w:fill="E7E6E6" w:themeFill="background2"/>
          </w:tcPr>
          <w:p w14:paraId="0EB6E285" w14:textId="77777777" w:rsidR="00212CE6" w:rsidRPr="00B259FC" w:rsidRDefault="00212CE6" w:rsidP="006B4A3F">
            <w:pPr>
              <w:jc w:val="center"/>
              <w:rPr>
                <w:rFonts w:ascii="Calibri" w:hAnsi="Calibri"/>
                <w:b/>
              </w:rPr>
            </w:pPr>
            <w:r w:rsidRPr="00B259FC">
              <w:rPr>
                <w:rFonts w:ascii="Calibri" w:hAnsi="Calibri"/>
                <w:b/>
              </w:rPr>
              <w:t>How is it set?</w:t>
            </w:r>
          </w:p>
        </w:tc>
        <w:tc>
          <w:tcPr>
            <w:tcW w:w="2974" w:type="dxa"/>
          </w:tcPr>
          <w:p w14:paraId="191CC589" w14:textId="1B3202D7" w:rsidR="00212CE6" w:rsidRPr="007462BF" w:rsidRDefault="277B87F6" w:rsidP="002A5C40">
            <w:pPr>
              <w:rPr>
                <w:rFonts w:ascii="Calibri" w:hAnsi="Calibri"/>
              </w:rPr>
            </w:pPr>
            <w:r w:rsidRPr="539EEDC7">
              <w:rPr>
                <w:rFonts w:ascii="Calibri" w:hAnsi="Calibri"/>
              </w:rPr>
              <w:t>Negotiated settlement based on recommendations from businesses and trade unions</w:t>
            </w:r>
          </w:p>
        </w:tc>
        <w:tc>
          <w:tcPr>
            <w:tcW w:w="2975" w:type="dxa"/>
          </w:tcPr>
          <w:p w14:paraId="7FD2DB9A" w14:textId="02FD07E3" w:rsidR="00212CE6" w:rsidRPr="007462BF" w:rsidRDefault="277B87F6" w:rsidP="002A5C40">
            <w:pPr>
              <w:rPr>
                <w:rFonts w:ascii="Calibri" w:hAnsi="Calibri"/>
              </w:rPr>
            </w:pPr>
            <w:r w:rsidRPr="539EEDC7">
              <w:rPr>
                <w:rFonts w:ascii="Calibri" w:hAnsi="Calibri"/>
              </w:rPr>
              <w:t>A % of medium earnings, it aims to reach 66% of median earnings by 2024</w:t>
            </w:r>
          </w:p>
        </w:tc>
        <w:tc>
          <w:tcPr>
            <w:tcW w:w="2975" w:type="dxa"/>
          </w:tcPr>
          <w:p w14:paraId="3F853900" w14:textId="637E76CA" w:rsidR="00212CE6" w:rsidRPr="007462BF" w:rsidRDefault="277B87F6" w:rsidP="002A5C40">
            <w:pPr>
              <w:rPr>
                <w:rFonts w:ascii="Calibri" w:hAnsi="Calibri"/>
              </w:rPr>
            </w:pPr>
            <w:r w:rsidRPr="539EEDC7">
              <w:rPr>
                <w:rFonts w:ascii="Calibri" w:hAnsi="Calibri"/>
              </w:rPr>
              <w:t>Calculation made according to the cost of living, based on a basket of household goods and services</w:t>
            </w:r>
          </w:p>
        </w:tc>
      </w:tr>
    </w:tbl>
    <w:p w14:paraId="54E66BE5" w14:textId="15C0D7CC" w:rsidR="00212CE6" w:rsidRDefault="00212CE6" w:rsidP="00F32600">
      <w:pPr>
        <w:spacing w:after="0" w:line="240" w:lineRule="auto"/>
        <w:rPr>
          <w:rFonts w:cs="Arial"/>
        </w:rPr>
      </w:pPr>
    </w:p>
    <w:p w14:paraId="011A5D45" w14:textId="77777777" w:rsidR="00E7590B" w:rsidRPr="00212CE6" w:rsidRDefault="00E7590B" w:rsidP="00F32600">
      <w:pPr>
        <w:spacing w:after="0" w:line="240" w:lineRule="auto"/>
        <w:rPr>
          <w:rFonts w:cs="Arial"/>
        </w:rPr>
      </w:pPr>
    </w:p>
    <w:p w14:paraId="25BDC773" w14:textId="6BEEFA7D" w:rsidR="00212CE6" w:rsidRPr="006B4A3F" w:rsidRDefault="00F835E2" w:rsidP="006B4A3F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Benefits of </w:t>
      </w:r>
      <w:r w:rsidR="006B4A3F">
        <w:rPr>
          <w:b/>
          <w:i/>
          <w:sz w:val="28"/>
          <w:szCs w:val="28"/>
        </w:rPr>
        <w:t>the Real Living Wage</w:t>
      </w:r>
    </w:p>
    <w:p w14:paraId="7C99512E" w14:textId="0CB87EAF" w:rsidR="00212CE6" w:rsidRDefault="00212CE6" w:rsidP="006B4A3F">
      <w:pPr>
        <w:spacing w:after="0" w:line="240" w:lineRule="auto"/>
        <w:rPr>
          <w:color w:val="1C1B1B"/>
        </w:rPr>
      </w:pPr>
      <w:r>
        <w:t xml:space="preserve">When their wages are low, people </w:t>
      </w:r>
      <w:proofErr w:type="gramStart"/>
      <w:r w:rsidR="002533A5">
        <w:t>have to</w:t>
      </w:r>
      <w:proofErr w:type="gramEnd"/>
      <w:r w:rsidR="002533A5">
        <w:t xml:space="preserve"> </w:t>
      </w:r>
      <w:r>
        <w:t xml:space="preserve">spend less. This inevitably affects local economies. </w:t>
      </w:r>
      <w:r w:rsidRPr="00387174">
        <w:rPr>
          <w:rFonts w:cs="Arial"/>
          <w:color w:val="1C1B1B"/>
        </w:rPr>
        <w:t xml:space="preserve">Paying a wage that has been calculated in relation to the </w:t>
      </w:r>
      <w:r w:rsidR="002533A5">
        <w:rPr>
          <w:rFonts w:cs="Arial"/>
          <w:color w:val="1C1B1B"/>
        </w:rPr>
        <w:t xml:space="preserve">actual </w:t>
      </w:r>
      <w:r w:rsidRPr="00387174">
        <w:rPr>
          <w:rFonts w:cs="Arial"/>
          <w:color w:val="1C1B1B"/>
        </w:rPr>
        <w:t xml:space="preserve">cost of basic goods means that people are </w:t>
      </w:r>
      <w:r w:rsidR="00F835E2">
        <w:rPr>
          <w:rFonts w:cs="Arial"/>
          <w:color w:val="1C1B1B"/>
        </w:rPr>
        <w:t xml:space="preserve">more likely to be </w:t>
      </w:r>
      <w:r w:rsidRPr="00387174">
        <w:rPr>
          <w:rFonts w:cs="Arial"/>
          <w:color w:val="1C1B1B"/>
        </w:rPr>
        <w:t xml:space="preserve">able to buy them.  </w:t>
      </w:r>
      <w:r w:rsidRPr="00387174">
        <w:rPr>
          <w:color w:val="1C1B1B"/>
        </w:rPr>
        <w:t xml:space="preserve">If </w:t>
      </w:r>
      <w:r w:rsidR="00F835E2">
        <w:rPr>
          <w:color w:val="1C1B1B"/>
        </w:rPr>
        <w:t>people in employment</w:t>
      </w:r>
      <w:r w:rsidRPr="00387174">
        <w:rPr>
          <w:color w:val="1C1B1B"/>
        </w:rPr>
        <w:t xml:space="preserve"> can afford to live life fully, everyone </w:t>
      </w:r>
      <w:proofErr w:type="gramStart"/>
      <w:r w:rsidRPr="00387174">
        <w:rPr>
          <w:color w:val="1C1B1B"/>
        </w:rPr>
        <w:t>benefits:</w:t>
      </w:r>
      <w:proofErr w:type="gramEnd"/>
      <w:r w:rsidRPr="00387174">
        <w:rPr>
          <w:color w:val="1C1B1B"/>
        </w:rPr>
        <w:t xml:space="preserve"> people are more likely to spend locally – boosting local economies. </w:t>
      </w:r>
    </w:p>
    <w:p w14:paraId="5F0BECEC" w14:textId="678CF419" w:rsidR="00F835E2" w:rsidRDefault="00F835E2" w:rsidP="006B4A3F">
      <w:pPr>
        <w:spacing w:after="0" w:line="240" w:lineRule="auto"/>
        <w:rPr>
          <w:color w:val="1C1B1B"/>
        </w:rPr>
      </w:pPr>
    </w:p>
    <w:p w14:paraId="0F249020" w14:textId="48DA8CEB" w:rsidR="00F835E2" w:rsidRDefault="00F835E2" w:rsidP="005F45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pacing w:val="2"/>
          <w:sz w:val="22"/>
          <w:szCs w:val="22"/>
        </w:rPr>
      </w:pPr>
      <w:r>
        <w:rPr>
          <w:rStyle w:val="Strong"/>
          <w:rFonts w:asciiTheme="minorHAnsi" w:hAnsiTheme="minorHAnsi"/>
          <w:b w:val="0"/>
          <w:spacing w:val="2"/>
          <w:sz w:val="22"/>
          <w:szCs w:val="22"/>
          <w:bdr w:val="none" w:sz="0" w:space="0" w:color="auto" w:frame="1"/>
        </w:rPr>
        <w:t xml:space="preserve">Working with the Living Wage Foundation, Cardiff Business School surveyed over </w:t>
      </w:r>
      <w:r w:rsidRPr="00F835E2">
        <w:rPr>
          <w:rFonts w:asciiTheme="minorHAnsi" w:hAnsiTheme="minorHAnsi"/>
          <w:spacing w:val="2"/>
          <w:sz w:val="22"/>
          <w:szCs w:val="22"/>
        </w:rPr>
        <w:t xml:space="preserve">800 accredited real Living Wage businesses, </w:t>
      </w:r>
      <w:r>
        <w:rPr>
          <w:rFonts w:asciiTheme="minorHAnsi" w:hAnsiTheme="minorHAnsi"/>
          <w:spacing w:val="2"/>
          <w:sz w:val="22"/>
          <w:szCs w:val="22"/>
        </w:rPr>
        <w:t>including Small and Medium Enterprises (SMEs)</w:t>
      </w:r>
      <w:r w:rsidR="005F45FD">
        <w:rPr>
          <w:rFonts w:asciiTheme="minorHAnsi" w:hAnsiTheme="minorHAnsi"/>
          <w:spacing w:val="2"/>
          <w:sz w:val="22"/>
          <w:szCs w:val="22"/>
        </w:rPr>
        <w:t xml:space="preserve">. </w:t>
      </w:r>
      <w:r w:rsidRPr="00F835E2">
        <w:rPr>
          <w:rFonts w:asciiTheme="minorHAnsi" w:hAnsiTheme="minorHAnsi"/>
          <w:spacing w:val="2"/>
          <w:sz w:val="22"/>
          <w:szCs w:val="22"/>
        </w:rPr>
        <w:t>86% reported that Living Wage accreditation had enhanced their organisation’s general reputation as an employer. Over half of employers reported that the Living Wage had improved both recruitment and retention</w:t>
      </w:r>
      <w:r w:rsidR="005F45FD">
        <w:rPr>
          <w:rFonts w:asciiTheme="minorHAnsi" w:hAnsiTheme="minorHAnsi"/>
          <w:spacing w:val="2"/>
          <w:sz w:val="22"/>
          <w:szCs w:val="22"/>
        </w:rPr>
        <w:t xml:space="preserve">, and that </w:t>
      </w:r>
      <w:r w:rsidRPr="00F835E2">
        <w:rPr>
          <w:rFonts w:asciiTheme="minorHAnsi" w:hAnsiTheme="minorHAnsi"/>
          <w:spacing w:val="2"/>
          <w:sz w:val="22"/>
          <w:szCs w:val="22"/>
        </w:rPr>
        <w:t>staff motivation was increased.</w:t>
      </w:r>
    </w:p>
    <w:p w14:paraId="035CE007" w14:textId="1D0B190E" w:rsidR="005F45FD" w:rsidRDefault="005F45FD" w:rsidP="005F45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pacing w:val="2"/>
          <w:sz w:val="22"/>
          <w:szCs w:val="22"/>
        </w:rPr>
      </w:pPr>
    </w:p>
    <w:p w14:paraId="27D20552" w14:textId="7953AFAE" w:rsidR="005F45FD" w:rsidRDefault="00FE0CD6" w:rsidP="005F45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Theme="minorHAnsi" w:hAnsiTheme="minorHAnsi"/>
          <w:spacing w:val="2"/>
          <w:sz w:val="22"/>
          <w:szCs w:val="22"/>
        </w:rPr>
      </w:pPr>
      <w:hyperlink w:history="1">
        <w:r w:rsidRPr="00007A55">
          <w:rPr>
            <w:rStyle w:val="Hyperlink"/>
            <w:rFonts w:asciiTheme="minorHAnsi" w:hAnsiTheme="minorHAnsi"/>
            <w:spacing w:val="2"/>
            <w:sz w:val="22"/>
            <w:szCs w:val="22"/>
          </w:rPr>
          <w:t>Living Wage Foundation</w:t>
        </w:r>
      </w:hyperlink>
      <w:r w:rsidR="005F45FD">
        <w:rPr>
          <w:rFonts w:asciiTheme="minorHAnsi" w:hAnsiTheme="minorHAnsi"/>
          <w:spacing w:val="2"/>
          <w:sz w:val="22"/>
          <w:szCs w:val="22"/>
        </w:rPr>
        <w:t xml:space="preserve"> website: </w:t>
      </w:r>
      <w:hyperlink r:id="rId10" w:history="1">
        <w:r w:rsidR="005F45FD" w:rsidRPr="00223896">
          <w:rPr>
            <w:rStyle w:val="Hyperlink"/>
            <w:rFonts w:asciiTheme="minorHAnsi" w:hAnsiTheme="minorHAnsi"/>
            <w:spacing w:val="2"/>
            <w:sz w:val="22"/>
            <w:szCs w:val="22"/>
          </w:rPr>
          <w:t>www.livingwage.org.uk</w:t>
        </w:r>
      </w:hyperlink>
    </w:p>
    <w:p w14:paraId="0187A659" w14:textId="77777777" w:rsidR="001F20CC" w:rsidRDefault="001F20CC" w:rsidP="005F45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pacing w:val="2"/>
          <w:sz w:val="22"/>
          <w:szCs w:val="22"/>
        </w:rPr>
      </w:pPr>
    </w:p>
    <w:p w14:paraId="0B442415" w14:textId="3D73F7A0" w:rsidR="00437B09" w:rsidRPr="00533C08" w:rsidRDefault="00533C08" w:rsidP="00184E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Arial"/>
          <w:b/>
          <w:i/>
          <w:color w:val="FF0000"/>
        </w:rPr>
      </w:pPr>
      <w:r w:rsidRPr="005641C9">
        <w:rPr>
          <w:rFonts w:ascii="Calibri" w:hAnsi="Calibri" w:cs="Arial"/>
          <w:b/>
          <w:i/>
          <w:color w:val="FF0000"/>
        </w:rPr>
        <w:t xml:space="preserve">NB: compliance with this guidance note does not guarantee that an application will be successful – it just gives an indication of our assessment process and criteria.  </w:t>
      </w:r>
    </w:p>
    <w:sectPr w:rsidR="00437B09" w:rsidRPr="00533C08" w:rsidSect="001F20CC">
      <w:footerReference w:type="default" r:id="rId11"/>
      <w:pgSz w:w="11906" w:h="16838"/>
      <w:pgMar w:top="720" w:right="720" w:bottom="720" w:left="720" w:header="720" w:footer="720" w:gutter="0"/>
      <w:cols w:space="28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786B7" w14:textId="77777777" w:rsidR="00BE40B2" w:rsidRDefault="00BE40B2" w:rsidP="003E3807">
      <w:pPr>
        <w:spacing w:after="0" w:line="240" w:lineRule="auto"/>
      </w:pPr>
      <w:r>
        <w:separator/>
      </w:r>
    </w:p>
  </w:endnote>
  <w:endnote w:type="continuationSeparator" w:id="0">
    <w:p w14:paraId="0F723CC4" w14:textId="77777777" w:rsidR="00BE40B2" w:rsidRDefault="00BE40B2" w:rsidP="003E3807">
      <w:pPr>
        <w:spacing w:after="0" w:line="240" w:lineRule="auto"/>
      </w:pPr>
      <w:r>
        <w:continuationSeparator/>
      </w:r>
    </w:p>
  </w:endnote>
  <w:endnote w:type="continuationNotice" w:id="1">
    <w:p w14:paraId="728E9116" w14:textId="77777777" w:rsidR="00BE40B2" w:rsidRDefault="00BE4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ngha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RW Grotesk 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A9BD" w14:textId="30B069D6" w:rsidR="00F71382" w:rsidRDefault="00F71382">
    <w:pPr>
      <w:pStyle w:val="Footer"/>
      <w:jc w:val="right"/>
    </w:pPr>
  </w:p>
  <w:p w14:paraId="0B26843E" w14:textId="56BC5939" w:rsidR="00F71382" w:rsidRDefault="00F71382">
    <w:pPr>
      <w:pStyle w:val="Footer"/>
    </w:pPr>
    <w:r>
      <w:t xml:space="preserve">Pen y </w:t>
    </w:r>
    <w:proofErr w:type="spellStart"/>
    <w:r>
      <w:t>Cymoedd</w:t>
    </w:r>
    <w:proofErr w:type="spellEnd"/>
    <w:r>
      <w:t xml:space="preserve"> Wind Farm Community Fund CIC: Guidance: </w:t>
    </w:r>
    <w:r w:rsidR="003440DC">
      <w:t xml:space="preserve">Living Wage </w:t>
    </w:r>
    <w:r w:rsidR="000B383F">
      <w:t>V</w:t>
    </w:r>
    <w:r w:rsidR="006802BF">
      <w:t>4</w:t>
    </w:r>
    <w:r w:rsidR="000B383F">
      <w:t xml:space="preserve"> 2</w:t>
    </w:r>
    <w:r w:rsidR="00DE0953">
      <w:t>0/06/2025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DE76" w14:textId="77777777" w:rsidR="00BE40B2" w:rsidRDefault="00BE40B2" w:rsidP="003E3807">
      <w:pPr>
        <w:spacing w:after="0" w:line="240" w:lineRule="auto"/>
      </w:pPr>
      <w:r>
        <w:separator/>
      </w:r>
    </w:p>
  </w:footnote>
  <w:footnote w:type="continuationSeparator" w:id="0">
    <w:p w14:paraId="1E7E6D6F" w14:textId="77777777" w:rsidR="00BE40B2" w:rsidRDefault="00BE40B2" w:rsidP="003E3807">
      <w:pPr>
        <w:spacing w:after="0" w:line="240" w:lineRule="auto"/>
      </w:pPr>
      <w:r>
        <w:continuationSeparator/>
      </w:r>
    </w:p>
  </w:footnote>
  <w:footnote w:type="continuationNotice" w:id="1">
    <w:p w14:paraId="6C7585E4" w14:textId="77777777" w:rsidR="00BE40B2" w:rsidRDefault="00BE40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B9F"/>
    <w:multiLevelType w:val="multilevel"/>
    <w:tmpl w:val="DBE22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ascii="Calibri" w:eastAsia="Times New Roman" w:hAnsi="Calibri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" w15:restartNumberingAfterBreak="0">
    <w:nsid w:val="37F14E42"/>
    <w:multiLevelType w:val="hybridMultilevel"/>
    <w:tmpl w:val="94006F8E"/>
    <w:lvl w:ilvl="0" w:tplc="6080655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Longh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26BAB"/>
    <w:multiLevelType w:val="hybridMultilevel"/>
    <w:tmpl w:val="953EE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236756"/>
    <w:multiLevelType w:val="multilevel"/>
    <w:tmpl w:val="2BF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947A5"/>
    <w:multiLevelType w:val="hybridMultilevel"/>
    <w:tmpl w:val="87B2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269871">
    <w:abstractNumId w:val="4"/>
  </w:num>
  <w:num w:numId="2" w16cid:durableId="115373689">
    <w:abstractNumId w:val="0"/>
  </w:num>
  <w:num w:numId="3" w16cid:durableId="773281229">
    <w:abstractNumId w:val="3"/>
  </w:num>
  <w:num w:numId="4" w16cid:durableId="798496831">
    <w:abstractNumId w:val="2"/>
  </w:num>
  <w:num w:numId="5" w16cid:durableId="35357394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B8"/>
    <w:rsid w:val="00023726"/>
    <w:rsid w:val="0003332F"/>
    <w:rsid w:val="00035FD6"/>
    <w:rsid w:val="000414B5"/>
    <w:rsid w:val="00073485"/>
    <w:rsid w:val="00082074"/>
    <w:rsid w:val="000B383F"/>
    <w:rsid w:val="000C077A"/>
    <w:rsid w:val="000C706E"/>
    <w:rsid w:val="000D1B18"/>
    <w:rsid w:val="000D57A9"/>
    <w:rsid w:val="000D7CED"/>
    <w:rsid w:val="000F6F08"/>
    <w:rsid w:val="001005A9"/>
    <w:rsid w:val="001231CD"/>
    <w:rsid w:val="0013480C"/>
    <w:rsid w:val="0014205C"/>
    <w:rsid w:val="00161B60"/>
    <w:rsid w:val="00173E72"/>
    <w:rsid w:val="0017701A"/>
    <w:rsid w:val="00184EF7"/>
    <w:rsid w:val="001A04D2"/>
    <w:rsid w:val="001B04AC"/>
    <w:rsid w:val="001C6034"/>
    <w:rsid w:val="001C7FEB"/>
    <w:rsid w:val="001F20CC"/>
    <w:rsid w:val="002108AC"/>
    <w:rsid w:val="00212102"/>
    <w:rsid w:val="002129B7"/>
    <w:rsid w:val="00212CE6"/>
    <w:rsid w:val="002146AD"/>
    <w:rsid w:val="002533A5"/>
    <w:rsid w:val="002A444B"/>
    <w:rsid w:val="002C2CC6"/>
    <w:rsid w:val="002C5A61"/>
    <w:rsid w:val="002F09A2"/>
    <w:rsid w:val="002F1337"/>
    <w:rsid w:val="002F1D88"/>
    <w:rsid w:val="00306181"/>
    <w:rsid w:val="0031284D"/>
    <w:rsid w:val="003157B4"/>
    <w:rsid w:val="00343701"/>
    <w:rsid w:val="003440DC"/>
    <w:rsid w:val="00344968"/>
    <w:rsid w:val="003516F6"/>
    <w:rsid w:val="0036244A"/>
    <w:rsid w:val="00365A17"/>
    <w:rsid w:val="00373271"/>
    <w:rsid w:val="00380A0C"/>
    <w:rsid w:val="00381C12"/>
    <w:rsid w:val="003834D8"/>
    <w:rsid w:val="00390F54"/>
    <w:rsid w:val="00392D33"/>
    <w:rsid w:val="003C6ED5"/>
    <w:rsid w:val="003E3807"/>
    <w:rsid w:val="003E5312"/>
    <w:rsid w:val="003E6C6E"/>
    <w:rsid w:val="004076CC"/>
    <w:rsid w:val="00437B09"/>
    <w:rsid w:val="004434AA"/>
    <w:rsid w:val="00460096"/>
    <w:rsid w:val="00467A86"/>
    <w:rsid w:val="00475AD2"/>
    <w:rsid w:val="00477C65"/>
    <w:rsid w:val="00481C07"/>
    <w:rsid w:val="004822FE"/>
    <w:rsid w:val="00484604"/>
    <w:rsid w:val="00493CA4"/>
    <w:rsid w:val="004A5F11"/>
    <w:rsid w:val="004B4B8A"/>
    <w:rsid w:val="004C2260"/>
    <w:rsid w:val="004D3EE1"/>
    <w:rsid w:val="004F3C72"/>
    <w:rsid w:val="004F7140"/>
    <w:rsid w:val="00501C0E"/>
    <w:rsid w:val="00502F7F"/>
    <w:rsid w:val="005243DF"/>
    <w:rsid w:val="00533C08"/>
    <w:rsid w:val="00543D56"/>
    <w:rsid w:val="00546D70"/>
    <w:rsid w:val="00547069"/>
    <w:rsid w:val="00550ECF"/>
    <w:rsid w:val="00560393"/>
    <w:rsid w:val="00575AF1"/>
    <w:rsid w:val="005B0C52"/>
    <w:rsid w:val="005B3B4C"/>
    <w:rsid w:val="005B60B3"/>
    <w:rsid w:val="005D2750"/>
    <w:rsid w:val="005E7680"/>
    <w:rsid w:val="005F45FD"/>
    <w:rsid w:val="005F5740"/>
    <w:rsid w:val="00623E4A"/>
    <w:rsid w:val="00632BA7"/>
    <w:rsid w:val="00663694"/>
    <w:rsid w:val="0067103F"/>
    <w:rsid w:val="006802BF"/>
    <w:rsid w:val="006816E8"/>
    <w:rsid w:val="006A18CA"/>
    <w:rsid w:val="006A4EFE"/>
    <w:rsid w:val="006B4A3F"/>
    <w:rsid w:val="006C37C1"/>
    <w:rsid w:val="006F476E"/>
    <w:rsid w:val="007019D8"/>
    <w:rsid w:val="0070676A"/>
    <w:rsid w:val="00710648"/>
    <w:rsid w:val="00774507"/>
    <w:rsid w:val="00775525"/>
    <w:rsid w:val="00787C69"/>
    <w:rsid w:val="007A2CB0"/>
    <w:rsid w:val="007A347C"/>
    <w:rsid w:val="007B5936"/>
    <w:rsid w:val="007E0C72"/>
    <w:rsid w:val="007F1664"/>
    <w:rsid w:val="007F3E2B"/>
    <w:rsid w:val="008118A6"/>
    <w:rsid w:val="008146D3"/>
    <w:rsid w:val="00815C51"/>
    <w:rsid w:val="00817585"/>
    <w:rsid w:val="00831F3E"/>
    <w:rsid w:val="00845274"/>
    <w:rsid w:val="008575BE"/>
    <w:rsid w:val="0089090C"/>
    <w:rsid w:val="008A2A96"/>
    <w:rsid w:val="008B2684"/>
    <w:rsid w:val="008D6242"/>
    <w:rsid w:val="0090148A"/>
    <w:rsid w:val="00933974"/>
    <w:rsid w:val="00942E1B"/>
    <w:rsid w:val="009504BA"/>
    <w:rsid w:val="00956FF1"/>
    <w:rsid w:val="00963142"/>
    <w:rsid w:val="00967624"/>
    <w:rsid w:val="009817A1"/>
    <w:rsid w:val="009B426A"/>
    <w:rsid w:val="009C2A0A"/>
    <w:rsid w:val="009D1324"/>
    <w:rsid w:val="009D3A0E"/>
    <w:rsid w:val="009E7666"/>
    <w:rsid w:val="009F1662"/>
    <w:rsid w:val="009F7690"/>
    <w:rsid w:val="00A04374"/>
    <w:rsid w:val="00A064C7"/>
    <w:rsid w:val="00A329DB"/>
    <w:rsid w:val="00A405EC"/>
    <w:rsid w:val="00A41DBD"/>
    <w:rsid w:val="00A428D7"/>
    <w:rsid w:val="00A45FCE"/>
    <w:rsid w:val="00A56085"/>
    <w:rsid w:val="00A72905"/>
    <w:rsid w:val="00A90D24"/>
    <w:rsid w:val="00A90E98"/>
    <w:rsid w:val="00A96EB2"/>
    <w:rsid w:val="00AA09F6"/>
    <w:rsid w:val="00AB451B"/>
    <w:rsid w:val="00AD1903"/>
    <w:rsid w:val="00AE5EF9"/>
    <w:rsid w:val="00AF0747"/>
    <w:rsid w:val="00B030B7"/>
    <w:rsid w:val="00B32F88"/>
    <w:rsid w:val="00B37044"/>
    <w:rsid w:val="00B62F3A"/>
    <w:rsid w:val="00B6746F"/>
    <w:rsid w:val="00B80C27"/>
    <w:rsid w:val="00B82DBB"/>
    <w:rsid w:val="00B96101"/>
    <w:rsid w:val="00BA0E63"/>
    <w:rsid w:val="00BC4FCF"/>
    <w:rsid w:val="00BD3295"/>
    <w:rsid w:val="00BE40B2"/>
    <w:rsid w:val="00BE5509"/>
    <w:rsid w:val="00C44111"/>
    <w:rsid w:val="00C44129"/>
    <w:rsid w:val="00C65C15"/>
    <w:rsid w:val="00C70E65"/>
    <w:rsid w:val="00C807CF"/>
    <w:rsid w:val="00CC067B"/>
    <w:rsid w:val="00CD109A"/>
    <w:rsid w:val="00CD2418"/>
    <w:rsid w:val="00CD31B4"/>
    <w:rsid w:val="00CF4D55"/>
    <w:rsid w:val="00CF5313"/>
    <w:rsid w:val="00D204C0"/>
    <w:rsid w:val="00D45C03"/>
    <w:rsid w:val="00D47B38"/>
    <w:rsid w:val="00D624B4"/>
    <w:rsid w:val="00D72CD8"/>
    <w:rsid w:val="00D80711"/>
    <w:rsid w:val="00D80C57"/>
    <w:rsid w:val="00D81101"/>
    <w:rsid w:val="00D86E4D"/>
    <w:rsid w:val="00DA02AC"/>
    <w:rsid w:val="00DA05C4"/>
    <w:rsid w:val="00DA1AFC"/>
    <w:rsid w:val="00DA330E"/>
    <w:rsid w:val="00DB5A17"/>
    <w:rsid w:val="00DB7188"/>
    <w:rsid w:val="00DC1627"/>
    <w:rsid w:val="00DC31B0"/>
    <w:rsid w:val="00DE0953"/>
    <w:rsid w:val="00DE2C13"/>
    <w:rsid w:val="00E07F00"/>
    <w:rsid w:val="00E162F7"/>
    <w:rsid w:val="00E4402E"/>
    <w:rsid w:val="00E5102E"/>
    <w:rsid w:val="00E7590B"/>
    <w:rsid w:val="00E860C8"/>
    <w:rsid w:val="00E86C85"/>
    <w:rsid w:val="00E956FF"/>
    <w:rsid w:val="00E96461"/>
    <w:rsid w:val="00E966D2"/>
    <w:rsid w:val="00E9725F"/>
    <w:rsid w:val="00EA5F52"/>
    <w:rsid w:val="00EC227D"/>
    <w:rsid w:val="00ED5514"/>
    <w:rsid w:val="00EE3139"/>
    <w:rsid w:val="00EE3A36"/>
    <w:rsid w:val="00F12385"/>
    <w:rsid w:val="00F32600"/>
    <w:rsid w:val="00F70B11"/>
    <w:rsid w:val="00F71382"/>
    <w:rsid w:val="00F824E2"/>
    <w:rsid w:val="00F835E2"/>
    <w:rsid w:val="00F84DB8"/>
    <w:rsid w:val="00F962BC"/>
    <w:rsid w:val="00F97CD5"/>
    <w:rsid w:val="00FA2890"/>
    <w:rsid w:val="00FA35EB"/>
    <w:rsid w:val="00FB57AD"/>
    <w:rsid w:val="00FB5ED6"/>
    <w:rsid w:val="00FB6AC8"/>
    <w:rsid w:val="00FD35B5"/>
    <w:rsid w:val="00FE0CD6"/>
    <w:rsid w:val="00FE6A45"/>
    <w:rsid w:val="00FF3EFF"/>
    <w:rsid w:val="00FF7C90"/>
    <w:rsid w:val="0340E012"/>
    <w:rsid w:val="04AC17D2"/>
    <w:rsid w:val="0846A201"/>
    <w:rsid w:val="120E3C35"/>
    <w:rsid w:val="17507003"/>
    <w:rsid w:val="2114F192"/>
    <w:rsid w:val="21EB153C"/>
    <w:rsid w:val="277B87F6"/>
    <w:rsid w:val="2CD9BA16"/>
    <w:rsid w:val="35798453"/>
    <w:rsid w:val="370D02D4"/>
    <w:rsid w:val="4E7F0489"/>
    <w:rsid w:val="50FAEE36"/>
    <w:rsid w:val="539EEDC7"/>
    <w:rsid w:val="5FFBF189"/>
    <w:rsid w:val="68897ABA"/>
    <w:rsid w:val="69F13B4F"/>
    <w:rsid w:val="6AFEEDAB"/>
    <w:rsid w:val="75929023"/>
    <w:rsid w:val="76D49F21"/>
    <w:rsid w:val="79812E9A"/>
    <w:rsid w:val="7CB8C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1E38"/>
  <w15:chartTrackingRefBased/>
  <w15:docId w15:val="{76090D30-3BF2-40E3-B6A9-1893ACE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3E4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3E4A"/>
    <w:pPr>
      <w:keepNext/>
      <w:spacing w:after="0" w:line="240" w:lineRule="auto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807"/>
  </w:style>
  <w:style w:type="paragraph" w:styleId="Footer">
    <w:name w:val="footer"/>
    <w:basedOn w:val="Normal"/>
    <w:link w:val="FooterChar"/>
    <w:uiPriority w:val="99"/>
    <w:unhideWhenUsed/>
    <w:rsid w:val="003E3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807"/>
  </w:style>
  <w:style w:type="paragraph" w:customStyle="1" w:styleId="bbctext">
    <w:name w:val="bbctext"/>
    <w:basedOn w:val="Normal"/>
    <w:rsid w:val="00575A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7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1005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5A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623E4A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623E4A"/>
    <w:rPr>
      <w:rFonts w:ascii="Arial" w:eastAsia="Times New Roman" w:hAnsi="Arial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rsid w:val="00623E4A"/>
    <w:pPr>
      <w:spacing w:after="0" w:line="240" w:lineRule="auto"/>
    </w:pPr>
    <w:rPr>
      <w:rFonts w:ascii="Arial" w:eastAsia="Times New Roman" w:hAnsi="Arial" w:cs="Times New Roman"/>
      <w:color w:val="008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623E4A"/>
    <w:rPr>
      <w:rFonts w:ascii="Arial" w:eastAsia="Times New Roman" w:hAnsi="Arial" w:cs="Times New Roman"/>
      <w:color w:val="008000"/>
      <w:sz w:val="18"/>
      <w:szCs w:val="20"/>
    </w:rPr>
  </w:style>
  <w:style w:type="paragraph" w:customStyle="1" w:styleId="Default">
    <w:name w:val="Default"/>
    <w:rsid w:val="00A405EC"/>
    <w:pPr>
      <w:autoSpaceDE w:val="0"/>
      <w:autoSpaceDN w:val="0"/>
      <w:adjustRightInd w:val="0"/>
      <w:spacing w:after="0" w:line="240" w:lineRule="auto"/>
    </w:pPr>
    <w:rPr>
      <w:rFonts w:ascii="Longhand" w:hAnsi="Longhand" w:cs="Longha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05EC"/>
    <w:pPr>
      <w:spacing w:line="21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A405EC"/>
    <w:pPr>
      <w:spacing w:line="21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A405EC"/>
    <w:pPr>
      <w:spacing w:line="21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A405EC"/>
    <w:rPr>
      <w:rFonts w:ascii="URW Grotesk T" w:hAnsi="URW Grotesk T" w:cs="URW Grotesk T"/>
      <w:color w:val="000000"/>
      <w:sz w:val="19"/>
      <w:szCs w:val="19"/>
    </w:rPr>
  </w:style>
  <w:style w:type="table" w:styleId="TableGrid">
    <w:name w:val="Table Grid"/>
    <w:basedOn w:val="TableNormal"/>
    <w:uiPriority w:val="39"/>
    <w:rsid w:val="00A4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A405E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05E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348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73485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1C7FEB"/>
  </w:style>
  <w:style w:type="character" w:customStyle="1" w:styleId="WW8Num2z0">
    <w:name w:val="WW8Num2z0"/>
    <w:rsid w:val="008118A6"/>
    <w:rPr>
      <w:rFonts w:ascii="Symbol" w:hAnsi="Symbol" w:cs="Symbol" w:hint="default"/>
    </w:rPr>
  </w:style>
  <w:style w:type="character" w:customStyle="1" w:styleId="WW8Num3z0">
    <w:name w:val="WW8Num3z0"/>
    <w:rsid w:val="008118A6"/>
    <w:rPr>
      <w:rFonts w:ascii="Symbol" w:hAnsi="Symbol" w:cs="Symbol" w:hint="default"/>
    </w:rPr>
  </w:style>
  <w:style w:type="character" w:customStyle="1" w:styleId="WW8Num4z0">
    <w:name w:val="WW8Num4z0"/>
    <w:rsid w:val="008118A6"/>
    <w:rPr>
      <w:rFonts w:ascii="Symbol" w:hAnsi="Symbol" w:cs="Symbol" w:hint="default"/>
    </w:rPr>
  </w:style>
  <w:style w:type="character" w:customStyle="1" w:styleId="WW8Num5z0">
    <w:name w:val="WW8Num5z0"/>
    <w:rsid w:val="008118A6"/>
    <w:rPr>
      <w:rFonts w:ascii="Symbol" w:hAnsi="Symbol" w:cs="Symbol" w:hint="default"/>
    </w:rPr>
  </w:style>
  <w:style w:type="character" w:customStyle="1" w:styleId="WW8Num6z0">
    <w:name w:val="WW8Num6z0"/>
    <w:rsid w:val="008118A6"/>
    <w:rPr>
      <w:rFonts w:ascii="Symbol" w:hAnsi="Symbol" w:cs="Symbol" w:hint="default"/>
      <w:color w:val="auto"/>
      <w:sz w:val="28"/>
    </w:rPr>
  </w:style>
  <w:style w:type="paragraph" w:customStyle="1" w:styleId="Body1">
    <w:name w:val="Body 1"/>
    <w:basedOn w:val="Normal"/>
    <w:rsid w:val="008118A6"/>
    <w:pPr>
      <w:suppressAutoHyphens/>
      <w:spacing w:after="240" w:line="240" w:lineRule="auto"/>
      <w:ind w:left="851"/>
      <w:jc w:val="both"/>
    </w:pPr>
    <w:rPr>
      <w:rFonts w:ascii="Verdana" w:eastAsia="Times New Roman" w:hAnsi="Verdana" w:cs="Verdana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56F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17A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67A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F83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wage.org.uk/become-a-living-wage-employ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vingwag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ingwag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Kate.Pritchard</dc:creator>
  <cp:keywords/>
  <dc:description/>
  <cp:lastModifiedBy>Shayla Walsh</cp:lastModifiedBy>
  <cp:revision>2</cp:revision>
  <dcterms:created xsi:type="dcterms:W3CDTF">2025-06-19T12:42:00Z</dcterms:created>
  <dcterms:modified xsi:type="dcterms:W3CDTF">2025-06-19T12:42:00Z</dcterms:modified>
</cp:coreProperties>
</file>